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B55" w:rsidRPr="009F512C" w:rsidRDefault="0008640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r w:rsidRPr="009F512C">
        <w:rPr>
          <w:rFonts w:ascii="Times New Roman" w:hAnsi="Times New Roman"/>
          <w:b/>
          <w:sz w:val="24"/>
          <w:szCs w:val="28"/>
        </w:rPr>
        <w:t>РАЗРАБОТАНЫ</w:t>
      </w:r>
      <w:r w:rsidRPr="009F512C">
        <w:rPr>
          <w:rFonts w:ascii="Times New Roman" w:hAnsi="Times New Roman"/>
          <w:b/>
          <w:sz w:val="20"/>
        </w:rPr>
        <w:t xml:space="preserve"> </w:t>
      </w:r>
      <w:r w:rsidRPr="009F512C">
        <w:rPr>
          <w:rFonts w:ascii="Times New Roman" w:hAnsi="Times New Roman"/>
          <w:b/>
          <w:sz w:val="24"/>
          <w:szCs w:val="28"/>
        </w:rPr>
        <w:t>МИНОБРНАУКИ РОССИИ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sz w:val="24"/>
          <w:szCs w:val="28"/>
        </w:rPr>
        <w:t xml:space="preserve">во исполнение решения НАК 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i/>
          <w:sz w:val="24"/>
          <w:szCs w:val="28"/>
        </w:rPr>
        <w:t>(</w:t>
      </w:r>
      <w:proofErr w:type="spellStart"/>
      <w:r w:rsidRPr="009F512C">
        <w:rPr>
          <w:rFonts w:ascii="Times New Roman" w:hAnsi="Times New Roman"/>
          <w:i/>
          <w:sz w:val="24"/>
          <w:szCs w:val="28"/>
        </w:rPr>
        <w:t>пп</w:t>
      </w:r>
      <w:proofErr w:type="spellEnd"/>
      <w:r w:rsidRPr="009F512C">
        <w:rPr>
          <w:rFonts w:ascii="Times New Roman" w:hAnsi="Times New Roman"/>
          <w:i/>
          <w:sz w:val="24"/>
          <w:szCs w:val="28"/>
        </w:rPr>
        <w:t xml:space="preserve">. </w:t>
      </w:r>
      <w:r w:rsidR="00086405" w:rsidRPr="009F512C">
        <w:rPr>
          <w:rFonts w:ascii="Times New Roman" w:hAnsi="Times New Roman"/>
          <w:i/>
          <w:sz w:val="24"/>
          <w:szCs w:val="28"/>
        </w:rPr>
        <w:t xml:space="preserve">3.1 и </w:t>
      </w:r>
      <w:r w:rsidRPr="009F512C">
        <w:rPr>
          <w:rFonts w:ascii="Times New Roman" w:hAnsi="Times New Roman"/>
          <w:i/>
          <w:sz w:val="24"/>
          <w:szCs w:val="28"/>
        </w:rPr>
        <w:t xml:space="preserve">3.2 протокола от </w:t>
      </w:r>
      <w:r w:rsidR="00086405" w:rsidRPr="009F512C">
        <w:rPr>
          <w:rFonts w:ascii="Times New Roman" w:hAnsi="Times New Roman"/>
          <w:i/>
          <w:sz w:val="24"/>
          <w:szCs w:val="28"/>
        </w:rPr>
        <w:t>08.02.2022</w:t>
      </w:r>
      <w:r w:rsidRPr="009F512C">
        <w:rPr>
          <w:rFonts w:ascii="Times New Roman" w:hAnsi="Times New Roman"/>
          <w:i/>
          <w:sz w:val="24"/>
          <w:szCs w:val="28"/>
        </w:rPr>
        <w:t>)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персонала, работников частных охранных организаций и обучающихся</w:t>
      </w:r>
      <w:r w:rsidR="001612A8">
        <w:rPr>
          <w:rFonts w:ascii="Times New Roman" w:hAnsi="Times New Roman" w:cs="Times New Roman"/>
          <w:sz w:val="28"/>
          <w:szCs w:val="28"/>
        </w:rPr>
        <w:t xml:space="preserve"> МБОУСОШ №10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1612A8" w:rsidRDefault="001612A8" w:rsidP="006A1ED4">
      <w:pPr>
        <w:pStyle w:val="Default"/>
        <w:jc w:val="center"/>
        <w:rPr>
          <w:bCs/>
          <w:color w:val="auto"/>
          <w:sz w:val="28"/>
          <w:szCs w:val="28"/>
        </w:rPr>
      </w:pPr>
      <w:proofErr w:type="spellStart"/>
      <w:r>
        <w:rPr>
          <w:bCs/>
          <w:color w:val="auto"/>
          <w:sz w:val="28"/>
          <w:szCs w:val="28"/>
        </w:rPr>
        <w:t>п.Ерик</w:t>
      </w:r>
      <w:proofErr w:type="spellEnd"/>
    </w:p>
    <w:p w:rsidR="00086405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9F512C">
        <w:rPr>
          <w:bCs/>
          <w:color w:val="auto"/>
          <w:sz w:val="28"/>
          <w:szCs w:val="28"/>
        </w:rPr>
        <w:t>2022 г</w:t>
      </w:r>
      <w:r w:rsidR="001612A8">
        <w:rPr>
          <w:bCs/>
          <w:color w:val="auto"/>
          <w:sz w:val="28"/>
          <w:szCs w:val="28"/>
        </w:rPr>
        <w:t>.</w:t>
      </w:r>
    </w:p>
    <w:p w:rsidR="001612A8" w:rsidRPr="009F512C" w:rsidRDefault="001612A8" w:rsidP="006A1ED4">
      <w:pPr>
        <w:pStyle w:val="Default"/>
        <w:jc w:val="center"/>
        <w:rPr>
          <w:bCs/>
          <w:color w:val="auto"/>
          <w:sz w:val="28"/>
          <w:szCs w:val="28"/>
        </w:rPr>
        <w:sectPr w:rsidR="001612A8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FF2F7C" w:rsidRPr="009F512C" w:rsidRDefault="00FF2F7C" w:rsidP="001612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00760130"/>
    </w:p>
    <w:bookmarkEnd w:id="0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2A8">
        <w:rPr>
          <w:rFonts w:ascii="Times New Roman" w:hAnsi="Times New Roman" w:cs="Times New Roman"/>
          <w:b/>
          <w:sz w:val="28"/>
          <w:szCs w:val="28"/>
        </w:rPr>
        <w:t>МБОУСОШ №10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, работников охранн</w:t>
      </w:r>
      <w:r w:rsidR="001612A8">
        <w:rPr>
          <w:rFonts w:ascii="Times New Roman" w:hAnsi="Times New Roman" w:cs="Times New Roman"/>
          <w:b/>
          <w:sz w:val="28"/>
          <w:szCs w:val="28"/>
        </w:rPr>
        <w:t xml:space="preserve">ого предприятия 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1612A8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1612A8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66F"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1612A8" w:rsidRPr="009F512C" w:rsidRDefault="001612A8" w:rsidP="001612A8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1612A8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66F"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беспрепятственный доступ к месту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6334E4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6334E4" w:rsidRPr="009F512C">
              <w:rPr>
                <w:rFonts w:ascii="Times New Roman" w:hAnsi="Times New Roman" w:cs="Times New Roman"/>
              </w:rPr>
              <w:br/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D94BC3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D94BC3" w:rsidRPr="009F512C">
              <w:rPr>
                <w:rFonts w:ascii="Times New Roman" w:hAnsi="Times New Roman" w:cs="Times New Roman"/>
              </w:rPr>
              <w:br/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1612A8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95508F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1612A8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1612A8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информирование 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, сообщить старшему наряда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информирование </w:t>
            </w:r>
            <w:proofErr w:type="gramStart"/>
            <w:r w:rsidR="001612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сообщить 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1612A8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A8">
        <w:rPr>
          <w:rFonts w:ascii="Times New Roman" w:hAnsi="Times New Roman" w:cs="Times New Roman"/>
          <w:b/>
          <w:sz w:val="28"/>
          <w:szCs w:val="28"/>
        </w:rPr>
        <w:t>Размещение взрывного устройств</w:t>
      </w:r>
      <w:r w:rsidR="00F321AA" w:rsidRPr="001612A8">
        <w:rPr>
          <w:rFonts w:ascii="Times New Roman" w:hAnsi="Times New Roman" w:cs="Times New Roman"/>
          <w:b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1612A8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(заместители директора)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1612A8" w:rsidRPr="00201D73" w:rsidRDefault="001612A8" w:rsidP="001612A8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информировать об обнаружении взрывного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средств связи и иных приборов (приспособлений), в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1612A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распоряжению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(см. Приложение) от взрывного устройства до прибытия руководителя и далее действовать в соответствии с его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или назначенных им лиц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действовать по распоряжению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действовать по распоряжению 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в зависимости от опасности нарушения (в том числе, от вида обнаруженного предмета, запрещенного к проносу) и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E08EC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(заместители директора)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08EC" w:rsidRPr="00201D73" w:rsidRDefault="00531D90" w:rsidP="00AE0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AE08EC" w:rsidRPr="00201D73">
              <w:rPr>
                <w:rFonts w:ascii="Times New Roman" w:hAnsi="Times New Roman" w:cs="Times New Roman"/>
                <w:sz w:val="24"/>
                <w:szCs w:val="24"/>
              </w:rPr>
              <w:t> незамедлительно информировать об обнаружении взрывного устройства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AE08EC" w:rsidRPr="00201D7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AE08E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AE08EC"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proofErr w:type="gramStart"/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опасной зоны</w:t>
            </w:r>
            <w:proofErr w:type="gramEnd"/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  <w:sz w:val="24"/>
                <w:szCs w:val="24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по своей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172" w:rsidRDefault="00EC7172" w:rsidP="00CE2DF1">
      <w:r>
        <w:separator/>
      </w:r>
    </w:p>
  </w:endnote>
  <w:endnote w:type="continuationSeparator" w:id="0">
    <w:p w:rsidR="00EC7172" w:rsidRDefault="00EC7172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172" w:rsidRDefault="00EC7172" w:rsidP="00CE2DF1">
      <w:r>
        <w:separator/>
      </w:r>
    </w:p>
  </w:footnote>
  <w:footnote w:type="continuationSeparator" w:id="0">
    <w:p w:rsidR="00EC7172" w:rsidRDefault="00EC7172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042E5B">
      <w:rPr>
        <w:rFonts w:ascii="Times New Roman" w:hAnsi="Times New Roman" w:cs="Times New Roman"/>
        <w:noProof/>
      </w:rPr>
      <w:t>18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612A8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08EC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EC7172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D5055"/>
  <w15:docId w15:val="{2B1C4A0A-4EAD-4F82-B563-A0D3E300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87DD-1F27-4C26-8986-89338D05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Zhenechka</cp:lastModifiedBy>
  <cp:revision>3</cp:revision>
  <cp:lastPrinted>2022-06-17T05:15:00Z</cp:lastPrinted>
  <dcterms:created xsi:type="dcterms:W3CDTF">2022-08-12T09:40:00Z</dcterms:created>
  <dcterms:modified xsi:type="dcterms:W3CDTF">2022-10-03T17:41:00Z</dcterms:modified>
</cp:coreProperties>
</file>